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D55B0" w14:textId="77777777" w:rsidR="006C09CB" w:rsidRPr="006C09CB" w:rsidRDefault="006C09CB" w:rsidP="006C09CB">
      <w:pPr>
        <w:shd w:val="clear" w:color="auto" w:fill="FFFFFF"/>
        <w:spacing w:before="100" w:beforeAutospacing="1" w:after="100" w:afterAutospacing="1" w:line="240" w:lineRule="auto"/>
        <w:outlineLvl w:val="0"/>
        <w:rPr>
          <w:rFonts w:ascii="Source Sans Pro" w:eastAsia="Times New Roman" w:hAnsi="Source Sans Pro" w:cs="Times New Roman"/>
          <w:color w:val="000000"/>
          <w:spacing w:val="3"/>
          <w:kern w:val="36"/>
          <w:sz w:val="48"/>
          <w:szCs w:val="48"/>
          <w:lang w:eastAsia="de-AT"/>
        </w:rPr>
      </w:pPr>
      <w:r w:rsidRPr="006C09CB">
        <w:rPr>
          <w:rFonts w:ascii="Source Sans Pro" w:eastAsia="Times New Roman" w:hAnsi="Source Sans Pro" w:cs="Times New Roman"/>
          <w:color w:val="9E0529"/>
          <w:kern w:val="36"/>
          <w:sz w:val="48"/>
          <w:szCs w:val="48"/>
          <w:lang w:eastAsia="de-AT"/>
        </w:rPr>
        <w:t>Praxismaterialien für Fortbildung &amp; Unterricht</w:t>
      </w:r>
    </w:p>
    <w:p w14:paraId="22BD371A" w14:textId="77777777" w:rsidR="006C09CB" w:rsidRPr="006C09CB" w:rsidRDefault="006C09CB" w:rsidP="006C09C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pacing w:val="3"/>
          <w:sz w:val="26"/>
          <w:szCs w:val="26"/>
          <w:lang w:eastAsia="de-AT"/>
        </w:rPr>
      </w:pPr>
      <w:hyperlink r:id="rId5" w:anchor="a1" w:history="1">
        <w:r w:rsidRPr="006C09CB">
          <w:rPr>
            <w:rFonts w:ascii="Source Sans Pro" w:eastAsia="Times New Roman" w:hAnsi="Source Sans Pro" w:cs="Times New Roman"/>
            <w:color w:val="000000"/>
            <w:spacing w:val="3"/>
            <w:sz w:val="26"/>
            <w:szCs w:val="26"/>
            <w:u w:val="single"/>
            <w:lang w:eastAsia="de-AT"/>
          </w:rPr>
          <w:t>Geschlechterreflexive Berufsorientierung / Berufs- und Lebensperspektiven jenseits von Geschlechterstereotypen fördern</w:t>
        </w:r>
      </w:hyperlink>
    </w:p>
    <w:p w14:paraId="4FF7A514" w14:textId="77777777" w:rsidR="006C09CB" w:rsidRPr="006C09CB" w:rsidRDefault="006C09CB" w:rsidP="006C09C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pacing w:val="3"/>
          <w:sz w:val="26"/>
          <w:szCs w:val="26"/>
          <w:lang w:eastAsia="de-AT"/>
        </w:rPr>
      </w:pPr>
      <w:hyperlink r:id="rId6" w:anchor="a2" w:history="1">
        <w:r w:rsidRPr="006C09CB">
          <w:rPr>
            <w:rFonts w:ascii="Source Sans Pro" w:eastAsia="Times New Roman" w:hAnsi="Source Sans Pro" w:cs="Times New Roman"/>
            <w:color w:val="000000"/>
            <w:spacing w:val="3"/>
            <w:sz w:val="26"/>
            <w:szCs w:val="26"/>
            <w:u w:val="single"/>
            <w:lang w:eastAsia="de-AT"/>
          </w:rPr>
          <w:t>Geschlechterreflexive Pädagogik / Gewaltprävention &amp; Gesundheitsförderung</w:t>
        </w:r>
      </w:hyperlink>
    </w:p>
    <w:p w14:paraId="6A84D8CA" w14:textId="77777777" w:rsidR="006C09CB" w:rsidRPr="006C09CB" w:rsidRDefault="006C09CB" w:rsidP="006C09CB">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000000"/>
          <w:spacing w:val="3"/>
          <w:sz w:val="26"/>
          <w:szCs w:val="26"/>
          <w:lang w:eastAsia="de-AT"/>
        </w:rPr>
      </w:pPr>
      <w:hyperlink r:id="rId7" w:anchor="a3" w:history="1">
        <w:r w:rsidRPr="006C09CB">
          <w:rPr>
            <w:rFonts w:ascii="Source Sans Pro" w:eastAsia="Times New Roman" w:hAnsi="Source Sans Pro" w:cs="Times New Roman"/>
            <w:color w:val="000000"/>
            <w:spacing w:val="3"/>
            <w:sz w:val="26"/>
            <w:szCs w:val="26"/>
            <w:u w:val="single"/>
            <w:lang w:eastAsia="de-AT"/>
          </w:rPr>
          <w:t>Geschlechterfragen / Geschlechterverhältnisse / Politische Bildung</w:t>
        </w:r>
      </w:hyperlink>
    </w:p>
    <w:p w14:paraId="057DA623" w14:textId="77777777" w:rsidR="006C09CB" w:rsidRPr="006C09CB" w:rsidRDefault="006C09CB" w:rsidP="006C09CB">
      <w:pPr>
        <w:numPr>
          <w:ilvl w:val="0"/>
          <w:numId w:val="1"/>
        </w:numPr>
        <w:shd w:val="clear" w:color="auto" w:fill="FFFFFF"/>
        <w:spacing w:before="100" w:beforeAutospacing="1" w:after="0" w:line="240" w:lineRule="auto"/>
        <w:rPr>
          <w:rFonts w:ascii="Source Sans Pro" w:eastAsia="Times New Roman" w:hAnsi="Source Sans Pro" w:cs="Times New Roman"/>
          <w:color w:val="000000"/>
          <w:spacing w:val="3"/>
          <w:sz w:val="26"/>
          <w:szCs w:val="26"/>
          <w:lang w:eastAsia="de-AT"/>
        </w:rPr>
      </w:pPr>
      <w:hyperlink r:id="rId8" w:anchor="a4" w:history="1">
        <w:r w:rsidRPr="006C09CB">
          <w:rPr>
            <w:rFonts w:ascii="Source Sans Pro" w:eastAsia="Times New Roman" w:hAnsi="Source Sans Pro" w:cs="Times New Roman"/>
            <w:color w:val="000000"/>
            <w:spacing w:val="3"/>
            <w:sz w:val="26"/>
            <w:szCs w:val="26"/>
            <w:u w:val="single"/>
            <w:lang w:eastAsia="de-AT"/>
          </w:rPr>
          <w:t>Selbstevaluierung / Reflexionsinstrumente für Schulen</w:t>
        </w:r>
      </w:hyperlink>
    </w:p>
    <w:p w14:paraId="405B3DA5" w14:textId="77777777" w:rsidR="006C09CB" w:rsidRPr="006C09CB" w:rsidRDefault="006C09CB" w:rsidP="006C09CB">
      <w:pPr>
        <w:shd w:val="clear" w:color="auto" w:fill="FFFFFF"/>
        <w:spacing w:before="100" w:beforeAutospacing="1" w:after="100" w:afterAutospacing="1" w:line="240" w:lineRule="auto"/>
        <w:outlineLvl w:val="1"/>
        <w:rPr>
          <w:rFonts w:ascii="Source Sans Pro" w:eastAsia="Times New Roman" w:hAnsi="Source Sans Pro" w:cs="Times New Roman"/>
          <w:b/>
          <w:bCs/>
          <w:color w:val="9E0529"/>
          <w:spacing w:val="3"/>
          <w:sz w:val="36"/>
          <w:szCs w:val="36"/>
          <w:lang w:eastAsia="de-AT"/>
        </w:rPr>
      </w:pPr>
      <w:r w:rsidRPr="006C09CB">
        <w:rPr>
          <w:rFonts w:ascii="Source Sans Pro" w:eastAsia="Times New Roman" w:hAnsi="Source Sans Pro" w:cs="Times New Roman"/>
          <w:b/>
          <w:bCs/>
          <w:color w:val="9E0529"/>
          <w:spacing w:val="3"/>
          <w:sz w:val="36"/>
          <w:szCs w:val="36"/>
          <w:lang w:eastAsia="de-AT"/>
        </w:rPr>
        <w:t>Thema: Geschlechterreflexive Berufsorientierung / Berufs- und Lebensperspektiven jenseits von Geschlechterstereotypen fördern</w:t>
      </w:r>
    </w:p>
    <w:p w14:paraId="0758ADE0"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ibobb-Portal - Website</w:t>
      </w:r>
    </w:p>
    <w:p w14:paraId="70131010"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Das im Auftrag des BMBWF eingerichtete </w:t>
      </w:r>
      <w:hyperlink r:id="rId9"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Webportal ibobb - Information, Beratung und Orientierung für Bildung und Beruf</w:t>
        </w:r>
      </w:hyperlink>
      <w:r w:rsidRPr="006C09CB">
        <w:rPr>
          <w:rFonts w:ascii="Source Sans Pro" w:eastAsia="Times New Roman" w:hAnsi="Source Sans Pro" w:cs="Times New Roman"/>
          <w:color w:val="000000"/>
          <w:spacing w:val="3"/>
          <w:sz w:val="26"/>
          <w:szCs w:val="26"/>
          <w:lang w:eastAsia="de-AT"/>
        </w:rPr>
        <w:t> - dient als Unterstützung für Pädagog/innen im Bereich der schulischen Berufsorientierung und verfügt auch über eine </w:t>
      </w:r>
      <w:hyperlink r:id="rId10"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Kategorie „Geschlechtssensible Berufsorientierung“</w:t>
        </w:r>
      </w:hyperlink>
      <w:r w:rsidRPr="006C09CB">
        <w:rPr>
          <w:rFonts w:ascii="Source Sans Pro" w:eastAsia="Times New Roman" w:hAnsi="Source Sans Pro" w:cs="Times New Roman"/>
          <w:color w:val="000000"/>
          <w:spacing w:val="3"/>
          <w:sz w:val="26"/>
          <w:szCs w:val="26"/>
          <w:lang w:eastAsia="de-AT"/>
        </w:rPr>
        <w:t> mit aktuellen Materialien und Hinweisen</w:t>
      </w:r>
    </w:p>
    <w:p w14:paraId="265C1DAA"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Boys in Care - Methodensammlung für eine geschlechterreflexive Berufsorientierung</w:t>
      </w:r>
    </w:p>
    <w:p w14:paraId="36EAD34E"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Diese </w:t>
      </w:r>
      <w:hyperlink r:id="rId11"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Methodensammlung</w:t>
        </w:r>
      </w:hyperlink>
      <w:r w:rsidRPr="006C09CB">
        <w:rPr>
          <w:rFonts w:ascii="Source Sans Pro" w:eastAsia="Times New Roman" w:hAnsi="Source Sans Pro" w:cs="Times New Roman"/>
          <w:color w:val="000000"/>
          <w:spacing w:val="3"/>
          <w:sz w:val="26"/>
          <w:szCs w:val="26"/>
          <w:lang w:eastAsia="de-AT"/>
        </w:rPr>
        <w:t> ist im Rahmen des auch vom BMBWFund BMASGK kofinanzierten </w:t>
      </w:r>
      <w:hyperlink r:id="rId12"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EU-Projekts „Boys in Care“</w:t>
        </w:r>
      </w:hyperlink>
      <w:r w:rsidRPr="006C09CB">
        <w:rPr>
          <w:rFonts w:ascii="Source Sans Pro" w:eastAsia="Times New Roman" w:hAnsi="Source Sans Pro" w:cs="Times New Roman"/>
          <w:color w:val="000000"/>
          <w:spacing w:val="3"/>
          <w:sz w:val="26"/>
          <w:szCs w:val="26"/>
          <w:lang w:eastAsia="de-AT"/>
        </w:rPr>
        <w:t> entstanden. Sie richtet sich an Lehrkräfte und Berater/innen und liefert methodisch-didaktische Vorschläge für Unterrichtseinheiten für die Sekundarstufe I und II (teilweise auch für koedukative Settings). Einige Methoden sind auch für den Einsatz in der Trainer/innen- und Pädagog/innenbildung geeignet. </w:t>
      </w:r>
      <w:r w:rsidRPr="006C09CB">
        <w:rPr>
          <w:rFonts w:ascii="Source Sans Pro" w:eastAsia="Times New Roman" w:hAnsi="Source Sans Pro" w:cs="Times New Roman"/>
          <w:color w:val="000000"/>
          <w:spacing w:val="3"/>
          <w:sz w:val="26"/>
          <w:szCs w:val="26"/>
          <w:lang w:eastAsia="de-AT"/>
        </w:rPr>
        <w:br/>
        <w:t>Hrsg. von VMG - Verein für Männer- und Geschlechterthemen Steiermark, Graz 2019</w:t>
      </w:r>
    </w:p>
    <w:p w14:paraId="69B93B4A"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Handbuch „Boys in Care“</w:t>
      </w:r>
    </w:p>
    <w:p w14:paraId="02246B91"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Das </w:t>
      </w:r>
      <w:hyperlink r:id="rId13"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Handbuch</w:t>
        </w:r>
      </w:hyperlink>
      <w:r w:rsidRPr="006C09CB">
        <w:rPr>
          <w:rFonts w:ascii="Source Sans Pro" w:eastAsia="Times New Roman" w:hAnsi="Source Sans Pro" w:cs="Times New Roman"/>
          <w:color w:val="000000"/>
          <w:spacing w:val="3"/>
          <w:sz w:val="26"/>
          <w:szCs w:val="26"/>
          <w:lang w:eastAsia="de-AT"/>
        </w:rPr>
        <w:t> bietet Anregungen für Fachkräfte und Multiplikator/innen im Feld geschlechterreflektierende Berufsorientierung und Ausbildungsberatung.</w:t>
      </w:r>
      <w:r w:rsidRPr="006C09CB">
        <w:rPr>
          <w:rFonts w:ascii="Source Sans Pro" w:eastAsia="Times New Roman" w:hAnsi="Source Sans Pro" w:cs="Times New Roman"/>
          <w:color w:val="000000"/>
          <w:spacing w:val="3"/>
          <w:sz w:val="26"/>
          <w:szCs w:val="26"/>
          <w:lang w:eastAsia="de-AT"/>
        </w:rPr>
        <w:br/>
        <w:t>VMG - Verein für Männer- und Geschlechterthemen Steiermark, Graz 2019</w:t>
      </w:r>
    </w:p>
    <w:p w14:paraId="4A3F3972"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lastRenderedPageBreak/>
        <w:t>Broschüre „Moderne Männlichkeit. Der österreichische Boys' Day“ - polis aktuell-Heft</w:t>
      </w:r>
    </w:p>
    <w:p w14:paraId="768BA4DA"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Der vom Sozialministerium finanzierte Boys´Day findet jährlich jeweils im November für Burschen ab 12 statt. Die </w:t>
      </w:r>
      <w:hyperlink r:id="rId14"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Broschüre</w:t>
        </w:r>
      </w:hyperlink>
      <w:r w:rsidRPr="006C09CB">
        <w:rPr>
          <w:rFonts w:ascii="Source Sans Pro" w:eastAsia="Times New Roman" w:hAnsi="Source Sans Pro" w:cs="Times New Roman"/>
          <w:color w:val="000000"/>
          <w:spacing w:val="3"/>
          <w:sz w:val="26"/>
          <w:szCs w:val="26"/>
          <w:lang w:eastAsia="de-AT"/>
        </w:rPr>
        <w:t> liefert Informationen und Anregungen für den Unterricht ab der Sekundarstufe I und für die Aus- und Fortbildung von Pädagog/inn/en im Sinne der Erweiterung der Berufswahlperspektiven von jungen Männern auch in Richtung Soziales, Erziehung und Gesundheit. "Moderne Männlichkeit" impliziert in diesem Zusammenhang einen offenen Blick auf die eigene Berufs- und Lebensplanung.</w:t>
      </w:r>
      <w:r w:rsidRPr="006C09CB">
        <w:rPr>
          <w:rFonts w:ascii="Source Sans Pro" w:eastAsia="Times New Roman" w:hAnsi="Source Sans Pro" w:cs="Times New Roman"/>
          <w:color w:val="000000"/>
          <w:spacing w:val="3"/>
          <w:sz w:val="26"/>
          <w:szCs w:val="26"/>
          <w:lang w:eastAsia="de-AT"/>
        </w:rPr>
        <w:br/>
        <w:t>Hrsg. vom Zentrum polis – Politik Lernen in der Schule in Kooperation mit dem Bundesministerium für Soziales, Gesundheit, Pflege und Konsumentenschutz, Wien 2019.</w:t>
      </w:r>
    </w:p>
    <w:p w14:paraId="66403940"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Genderinklusiver MINT-Unterricht „Hypatia Toolkit“ -  Broschüre</w:t>
      </w:r>
    </w:p>
    <w:p w14:paraId="48E14868"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Dieses </w:t>
      </w:r>
      <w:hyperlink r:id="rId15"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Toolkit</w:t>
        </w:r>
      </w:hyperlink>
      <w:r w:rsidRPr="006C09CB">
        <w:rPr>
          <w:rFonts w:ascii="Source Sans Pro" w:eastAsia="Times New Roman" w:hAnsi="Source Sans Pro" w:cs="Times New Roman"/>
          <w:color w:val="000000"/>
          <w:spacing w:val="3"/>
          <w:sz w:val="26"/>
          <w:szCs w:val="26"/>
          <w:lang w:eastAsia="de-AT"/>
        </w:rPr>
        <w:t> richtet sich an Akteurinnen und Akteure im Bereich der (außer)schulischen Bildungsarbeit. Es bietet eine digitale Sammlung von Materialien und Aktivitäten für Jugendliche zwischen 13 und 18. Es entstand in Zusammenarbeit zwischen Science Center Netzwerk und dem </w:t>
      </w:r>
      <w:r w:rsidRPr="006C09CB">
        <w:rPr>
          <w:rFonts w:ascii="Source Sans Pro" w:eastAsia="Times New Roman" w:hAnsi="Source Sans Pro" w:cs="Times New Roman"/>
          <w:i/>
          <w:iCs/>
          <w:color w:val="000000"/>
          <w:spacing w:val="3"/>
          <w:sz w:val="26"/>
          <w:szCs w:val="26"/>
          <w:lang w:eastAsia="de-AT"/>
        </w:rPr>
        <w:t>Projekt IMST</w:t>
      </w:r>
      <w:r w:rsidRPr="006C09CB">
        <w:rPr>
          <w:rFonts w:ascii="Source Sans Pro" w:eastAsia="Times New Roman" w:hAnsi="Source Sans Pro" w:cs="Times New Roman"/>
          <w:color w:val="000000"/>
          <w:spacing w:val="3"/>
          <w:sz w:val="26"/>
          <w:szCs w:val="26"/>
          <w:lang w:eastAsia="de-AT"/>
        </w:rPr>
        <w:t> – </w:t>
      </w:r>
      <w:r w:rsidRPr="006C09CB">
        <w:rPr>
          <w:rFonts w:ascii="Source Sans Pro" w:eastAsia="Times New Roman" w:hAnsi="Source Sans Pro" w:cs="Times New Roman"/>
          <w:i/>
          <w:iCs/>
          <w:color w:val="000000"/>
          <w:spacing w:val="3"/>
          <w:sz w:val="26"/>
          <w:szCs w:val="26"/>
          <w:lang w:eastAsia="de-AT"/>
        </w:rPr>
        <w:t>Innovationen machen Schulen Top</w:t>
      </w:r>
      <w:r w:rsidRPr="006C09CB">
        <w:rPr>
          <w:rFonts w:ascii="Source Sans Pro" w:eastAsia="Times New Roman" w:hAnsi="Source Sans Pro" w:cs="Times New Roman"/>
          <w:color w:val="000000"/>
          <w:spacing w:val="3"/>
          <w:sz w:val="26"/>
          <w:szCs w:val="26"/>
          <w:lang w:eastAsia="de-AT"/>
        </w:rPr>
        <w:t> mit Unterstützung des Bundesministeriums für Bildung, Wissenschaft und Forschung. Wien 2018</w:t>
      </w:r>
    </w:p>
    <w:p w14:paraId="05A396CD"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Gender_Diversity-Kompetenz im naturwissenschaftlichen Unterricht – Broschüre</w:t>
      </w:r>
    </w:p>
    <w:p w14:paraId="6FDCE1DB"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Die </w:t>
      </w:r>
      <w:hyperlink r:id="rId16"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Broschüre</w:t>
        </w:r>
      </w:hyperlink>
      <w:r w:rsidRPr="006C09CB">
        <w:rPr>
          <w:rFonts w:ascii="Source Sans Pro" w:eastAsia="Times New Roman" w:hAnsi="Source Sans Pro" w:cs="Times New Roman"/>
          <w:color w:val="000000"/>
          <w:spacing w:val="3"/>
          <w:sz w:val="26"/>
          <w:szCs w:val="26"/>
          <w:lang w:eastAsia="de-AT"/>
        </w:rPr>
        <w:t> bietet fachdidaktische Anregungen für Lehrerinnen und Lehrer hinsichtlich eines naturwissenschaftlichen Unterrichts, der die Potentiale und Interessen bei den Lernenden breit (und insbesondere auch bei den Schülerinnen) aktivieren kann. Sie bietet auch Einblick in Daten und Analysen bezüglich Geschlechterdifferenzen in dem Bereich.</w:t>
      </w:r>
      <w:r w:rsidRPr="006C09CB">
        <w:rPr>
          <w:rFonts w:ascii="Source Sans Pro" w:eastAsia="Times New Roman" w:hAnsi="Source Sans Pro" w:cs="Times New Roman"/>
          <w:color w:val="000000"/>
          <w:spacing w:val="3"/>
          <w:sz w:val="26"/>
          <w:szCs w:val="26"/>
          <w:lang w:eastAsia="de-AT"/>
        </w:rPr>
        <w:br/>
        <w:t>Hrsg. von Alpen Adria Universität i.A. des Bundesministeriums für Bildung, IMST – Innovationen machen Schulen Top, Klagenfurt 2017</w:t>
      </w:r>
    </w:p>
    <w:p w14:paraId="07D16EEC"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Genderkompetenz im Mathematikunterricht. Fachdidaktische Anregungen für Lehrerinnen und Lehrer - Broschüre</w:t>
      </w:r>
    </w:p>
    <w:p w14:paraId="0898F7A1"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Die </w:t>
      </w:r>
      <w:hyperlink r:id="rId17"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Broschüre</w:t>
        </w:r>
      </w:hyperlink>
      <w:r w:rsidRPr="006C09CB">
        <w:rPr>
          <w:rFonts w:ascii="Source Sans Pro" w:eastAsia="Times New Roman" w:hAnsi="Source Sans Pro" w:cs="Times New Roman"/>
          <w:color w:val="000000"/>
          <w:spacing w:val="3"/>
          <w:sz w:val="26"/>
          <w:szCs w:val="26"/>
          <w:lang w:eastAsia="de-AT"/>
        </w:rPr>
        <w:t> bietet fachdidaktische Anregungen für Lehrerinnen und Lehrer hinsichtlich eines gendersensiblen Mathematikunterrichts. Sie bietet auch Einblick in Daten und Interpretationen hinsichtlich des gender-gaps in dem Bereich.</w:t>
      </w:r>
      <w:r w:rsidRPr="006C09CB">
        <w:rPr>
          <w:rFonts w:ascii="Source Sans Pro" w:eastAsia="Times New Roman" w:hAnsi="Source Sans Pro" w:cs="Times New Roman"/>
          <w:color w:val="000000"/>
          <w:spacing w:val="3"/>
          <w:sz w:val="26"/>
          <w:szCs w:val="26"/>
          <w:lang w:eastAsia="de-AT"/>
        </w:rPr>
        <w:br/>
        <w:t>Hrsg. von Alpen Adria Universität i.A. des Bundesministeriums für Bildung, IMST – Innovationen machen Schulen Top, Klagenfurt 2017</w:t>
      </w:r>
    </w:p>
    <w:p w14:paraId="6F608F30"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lastRenderedPageBreak/>
        <w:t>Folder Digitale Bildung für alle! Fokus: Chancen- und Geschlechtergerechtigkeit</w:t>
      </w:r>
    </w:p>
    <w:p w14:paraId="66620B03"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Der </w:t>
      </w:r>
      <w:hyperlink r:id="rId18"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Flyer</w:t>
        </w:r>
      </w:hyperlink>
      <w:r w:rsidRPr="006C09CB">
        <w:rPr>
          <w:rFonts w:ascii="Source Sans Pro" w:eastAsia="Times New Roman" w:hAnsi="Source Sans Pro" w:cs="Times New Roman"/>
          <w:color w:val="000000"/>
          <w:spacing w:val="3"/>
          <w:sz w:val="26"/>
          <w:szCs w:val="26"/>
          <w:lang w:eastAsia="de-AT"/>
        </w:rPr>
        <w:t> bietet Impulse/Anregungen für Schulen zum Thema Chancen- und Geschlechtergerechtigkeit bei der Vermittlung digitaler und informatischer Kompetenzen im Kontext der BMBWF-Initiative eEducation.</w:t>
      </w:r>
      <w:r w:rsidRPr="006C09CB">
        <w:rPr>
          <w:rFonts w:ascii="Source Sans Pro" w:eastAsia="Times New Roman" w:hAnsi="Source Sans Pro" w:cs="Times New Roman"/>
          <w:color w:val="000000"/>
          <w:spacing w:val="3"/>
          <w:sz w:val="26"/>
          <w:szCs w:val="26"/>
          <w:lang w:eastAsia="de-AT"/>
        </w:rPr>
        <w:br/>
        <w:t>Bundesministerium für Bildung, Wissenschaft und Forschung, eEducation, Wien 2020</w:t>
      </w:r>
    </w:p>
    <w:p w14:paraId="5A4D658E"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MINT-Gütesiegel – Wettbewerb / Auszeichnung</w:t>
      </w:r>
    </w:p>
    <w:p w14:paraId="663DCEE7"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Mit dem MINT-Gütesiegel werden Bildungseinrichtungen ausgezeichnet, die mit verschiedenen Maßnahmen innovatives und begeisterndes Lernen in Mathematik, Informatik, Naturwissenschaft und Technik fördern und dabei vor allem auch auf eine breite Potentialentwicklung jenseits von Geschlechterstereotypen achten.</w:t>
      </w:r>
      <w:r w:rsidRPr="006C09CB">
        <w:rPr>
          <w:rFonts w:ascii="Source Sans Pro" w:eastAsia="Times New Roman" w:hAnsi="Source Sans Pro" w:cs="Times New Roman"/>
          <w:color w:val="000000"/>
          <w:spacing w:val="3"/>
          <w:sz w:val="26"/>
          <w:szCs w:val="26"/>
          <w:lang w:eastAsia="de-AT"/>
        </w:rPr>
        <w:br/>
      </w:r>
      <w:hyperlink r:id="rId19"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Website</w:t>
        </w:r>
      </w:hyperlink>
      <w:r w:rsidRPr="006C09CB">
        <w:rPr>
          <w:rFonts w:ascii="Source Sans Pro" w:eastAsia="Times New Roman" w:hAnsi="Source Sans Pro" w:cs="Times New Roman"/>
          <w:color w:val="000000"/>
          <w:spacing w:val="3"/>
          <w:sz w:val="26"/>
          <w:szCs w:val="26"/>
          <w:lang w:eastAsia="de-AT"/>
        </w:rPr>
        <w:t>, Bundesministerium für Bildung, Wissenschaft und Forschung, seit 2017</w:t>
      </w:r>
    </w:p>
    <w:p w14:paraId="6C375758" w14:textId="77777777" w:rsidR="006C09CB" w:rsidRPr="006C09CB" w:rsidRDefault="006C09CB" w:rsidP="006C09CB">
      <w:pPr>
        <w:shd w:val="clear" w:color="auto" w:fill="FFFFFF"/>
        <w:spacing w:before="100" w:beforeAutospacing="1" w:after="100" w:afterAutospacing="1" w:line="240" w:lineRule="auto"/>
        <w:outlineLvl w:val="1"/>
        <w:rPr>
          <w:rFonts w:ascii="Source Sans Pro" w:eastAsia="Times New Roman" w:hAnsi="Source Sans Pro" w:cs="Times New Roman"/>
          <w:b/>
          <w:bCs/>
          <w:color w:val="9E0529"/>
          <w:spacing w:val="3"/>
          <w:sz w:val="36"/>
          <w:szCs w:val="36"/>
          <w:lang w:eastAsia="de-AT"/>
        </w:rPr>
      </w:pPr>
      <w:r w:rsidRPr="006C09CB">
        <w:rPr>
          <w:rFonts w:ascii="Source Sans Pro" w:eastAsia="Times New Roman" w:hAnsi="Source Sans Pro" w:cs="Times New Roman"/>
          <w:b/>
          <w:bCs/>
          <w:color w:val="9E0529"/>
          <w:spacing w:val="3"/>
          <w:sz w:val="36"/>
          <w:szCs w:val="36"/>
          <w:lang w:eastAsia="de-AT"/>
        </w:rPr>
        <w:t>Thema: Geschlechterreflexive Pädagogik / Gewaltprävention &amp; Gesundheitsförderung</w:t>
      </w:r>
    </w:p>
    <w:p w14:paraId="221ECC99"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Mach es gleich!</w:t>
      </w:r>
    </w:p>
    <w:p w14:paraId="129BC65A"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20"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Lehr- und Lernmappe</w:t>
        </w:r>
      </w:hyperlink>
      <w:r w:rsidRPr="006C09CB">
        <w:rPr>
          <w:rFonts w:ascii="Source Sans Pro" w:eastAsia="Times New Roman" w:hAnsi="Source Sans Pro" w:cs="Times New Roman"/>
          <w:color w:val="000000"/>
          <w:spacing w:val="3"/>
          <w:sz w:val="26"/>
          <w:szCs w:val="26"/>
          <w:lang w:eastAsia="de-AT"/>
        </w:rPr>
        <w:t> zum Thema „Gender und Schule“ für die Arbeit mit Schülerinnen und Schülern ab 12</w:t>
      </w:r>
      <w:r w:rsidRPr="006C09CB">
        <w:rPr>
          <w:rFonts w:ascii="Source Sans Pro" w:eastAsia="Times New Roman" w:hAnsi="Source Sans Pro" w:cs="Times New Roman"/>
          <w:color w:val="000000"/>
          <w:spacing w:val="3"/>
          <w:sz w:val="26"/>
          <w:szCs w:val="26"/>
          <w:lang w:eastAsia="de-AT"/>
        </w:rPr>
        <w:br/>
        <w:t>Inhalte:</w:t>
      </w:r>
      <w:r w:rsidRPr="006C09CB">
        <w:rPr>
          <w:rFonts w:ascii="Source Sans Pro" w:eastAsia="Times New Roman" w:hAnsi="Source Sans Pro" w:cs="Times New Roman"/>
          <w:b/>
          <w:bCs/>
          <w:color w:val="000000"/>
          <w:spacing w:val="3"/>
          <w:sz w:val="26"/>
          <w:szCs w:val="26"/>
          <w:lang w:eastAsia="de-AT"/>
        </w:rPr>
        <w:t> </w:t>
      </w:r>
      <w:r w:rsidRPr="006C09CB">
        <w:rPr>
          <w:rFonts w:ascii="Source Sans Pro" w:eastAsia="Times New Roman" w:hAnsi="Source Sans Pro" w:cs="Times New Roman"/>
          <w:color w:val="000000"/>
          <w:spacing w:val="3"/>
          <w:sz w:val="26"/>
          <w:szCs w:val="26"/>
          <w:lang w:eastAsia="de-AT"/>
        </w:rPr>
        <w:t>theoretische Grundlagen, Übungen zur Selbstreflexion von Pädagog/innen, Unterrichtsbeispiele. </w:t>
      </w:r>
      <w:r w:rsidRPr="006C09CB">
        <w:rPr>
          <w:rFonts w:ascii="Source Sans Pro" w:eastAsia="Times New Roman" w:hAnsi="Source Sans Pro" w:cs="Times New Roman"/>
          <w:color w:val="000000"/>
          <w:spacing w:val="3"/>
          <w:sz w:val="26"/>
          <w:szCs w:val="26"/>
          <w:lang w:eastAsia="de-AT"/>
        </w:rPr>
        <w:br/>
        <w:t>Hrsg. u.a. vom Gleichstellungsreferat des Amtes der Vorarlberger Landesregierung (Konzeption Verein AMAZONE)</w:t>
      </w:r>
    </w:p>
    <w:p w14:paraId="7D152A15"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Gender Matters! Starke Mädchen, starke Buben!</w:t>
      </w:r>
    </w:p>
    <w:p w14:paraId="2FFC5B18"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Pädagogische Materialien (</w:t>
      </w:r>
      <w:hyperlink r:id="rId21" w:history="1">
        <w:r w:rsidRPr="006C09CB">
          <w:rPr>
            <w:rFonts w:ascii="Source Sans Pro" w:eastAsia="Times New Roman" w:hAnsi="Source Sans Pro" w:cs="Times New Roman"/>
            <w:color w:val="000000"/>
            <w:spacing w:val="3"/>
            <w:sz w:val="26"/>
            <w:szCs w:val="26"/>
            <w:u w:val="single"/>
            <w:lang w:eastAsia="de-AT"/>
          </w:rPr>
          <w:t>Themenboxen Gender Matters! 1 und Gender Matters! 2)</w:t>
        </w:r>
      </w:hyperlink>
      <w:r w:rsidRPr="006C09CB">
        <w:rPr>
          <w:rFonts w:ascii="Source Sans Pro" w:eastAsia="Times New Roman" w:hAnsi="Source Sans Pro" w:cs="Times New Roman"/>
          <w:color w:val="000000"/>
          <w:spacing w:val="3"/>
          <w:sz w:val="26"/>
          <w:szCs w:val="26"/>
          <w:lang w:eastAsia="de-AT"/>
        </w:rPr>
        <w:t> für die Arbeit mit 4-8 Jährigen sowie mit 8-12 Jährigen. Sie sind kostenlos beziehbar / entlehnbar über das Bibliothekspädagogische Zentrum in Wien.</w:t>
      </w:r>
      <w:r w:rsidRPr="006C09CB">
        <w:rPr>
          <w:rFonts w:ascii="Source Sans Pro" w:eastAsia="Times New Roman" w:hAnsi="Source Sans Pro" w:cs="Times New Roman"/>
          <w:color w:val="000000"/>
          <w:spacing w:val="3"/>
          <w:sz w:val="26"/>
          <w:szCs w:val="26"/>
          <w:lang w:eastAsia="de-AT"/>
        </w:rPr>
        <w:br/>
      </w:r>
      <w:hyperlink r:id="rId22" w:history="1">
        <w:r w:rsidRPr="006C09CB">
          <w:rPr>
            <w:rFonts w:ascii="Source Sans Pro" w:eastAsia="Times New Roman" w:hAnsi="Source Sans Pro" w:cs="Times New Roman"/>
            <w:color w:val="000000"/>
            <w:spacing w:val="3"/>
            <w:sz w:val="26"/>
            <w:szCs w:val="26"/>
            <w:u w:val="single"/>
            <w:lang w:eastAsia="de-AT"/>
          </w:rPr>
          <w:t>Kontakt</w:t>
        </w:r>
      </w:hyperlink>
    </w:p>
    <w:p w14:paraId="7F3F7E1C"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Geschlechtssensible Kinder- und Jugendbücher mit Fokus Gewaltprävention - polis aktuell-Heft</w:t>
      </w:r>
    </w:p>
    <w:p w14:paraId="41D5E292"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Buchempfehlungen für Pädagog/innen, Eltern und andere Bezugspersonen</w:t>
      </w:r>
      <w:r w:rsidRPr="006C09CB">
        <w:rPr>
          <w:rFonts w:ascii="Source Sans Pro" w:eastAsia="Times New Roman" w:hAnsi="Source Sans Pro" w:cs="Times New Roman"/>
          <w:color w:val="000000"/>
          <w:spacing w:val="3"/>
          <w:sz w:val="26"/>
          <w:szCs w:val="26"/>
          <w:lang w:eastAsia="de-AT"/>
        </w:rPr>
        <w:br/>
        <w:t>Die </w:t>
      </w:r>
      <w:hyperlink r:id="rId23"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Broschüre </w:t>
        </w:r>
      </w:hyperlink>
      <w:r w:rsidRPr="006C09CB">
        <w:rPr>
          <w:rFonts w:ascii="Source Sans Pro" w:eastAsia="Times New Roman" w:hAnsi="Source Sans Pro" w:cs="Times New Roman"/>
          <w:color w:val="000000"/>
          <w:spacing w:val="3"/>
          <w:sz w:val="26"/>
          <w:szCs w:val="26"/>
          <w:lang w:eastAsia="de-AT"/>
        </w:rPr>
        <w:t xml:space="preserve">stellt empfehlenswerte Kinder- und Jugendbücher ab 5 Jahren vor, mit deren Hilfe das Thema Gewalt in der pädagogischen Arbeit aufgegriffen werden kann bzw. die sich für die Gewaltpräventionsarbeit eignen. Darüber </w:t>
      </w:r>
      <w:r w:rsidRPr="006C09CB">
        <w:rPr>
          <w:rFonts w:ascii="Source Sans Pro" w:eastAsia="Times New Roman" w:hAnsi="Source Sans Pro" w:cs="Times New Roman"/>
          <w:color w:val="000000"/>
          <w:spacing w:val="3"/>
          <w:sz w:val="26"/>
          <w:szCs w:val="26"/>
          <w:lang w:eastAsia="de-AT"/>
        </w:rPr>
        <w:lastRenderedPageBreak/>
        <w:t>hinaus enthält die Publikation Ideen und Anregungen dazu, wie die Dimension Gender in den vorgestellten Büchern in den Blick genommen werden kann.</w:t>
      </w:r>
      <w:r w:rsidRPr="006C09CB">
        <w:rPr>
          <w:rFonts w:ascii="Source Sans Pro" w:eastAsia="Times New Roman" w:hAnsi="Source Sans Pro" w:cs="Times New Roman"/>
          <w:color w:val="000000"/>
          <w:spacing w:val="3"/>
          <w:sz w:val="26"/>
          <w:szCs w:val="26"/>
          <w:lang w:eastAsia="de-AT"/>
        </w:rPr>
        <w:br/>
        <w:t>Zentrum polis – Politik Lernen in der Schule, Wien 2016</w:t>
      </w:r>
    </w:p>
    <w:p w14:paraId="4561D22E"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”Stark! Aber wie?” – Methodensammlung zur Jungenarbeit mit dem Schwerpunkt Gewaltprävention </w:t>
      </w:r>
    </w:p>
    <w:p w14:paraId="54C91211"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24"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Theoretische Grundlagen und Arbeitsblätter</w:t>
        </w:r>
      </w:hyperlink>
      <w:r w:rsidRPr="006C09CB">
        <w:rPr>
          <w:rFonts w:ascii="Source Sans Pro" w:eastAsia="Times New Roman" w:hAnsi="Source Sans Pro" w:cs="Times New Roman"/>
          <w:color w:val="000000"/>
          <w:spacing w:val="3"/>
          <w:sz w:val="26"/>
          <w:szCs w:val="26"/>
          <w:lang w:eastAsia="de-AT"/>
        </w:rPr>
        <w:t> u.a. zu den Themen „Jungen und Männlichkeit“, „Ressourcen aktivieren“, „Gewalt erkennen und benennen“ wollen Lehrpersonen dabei unterstützen, die Thematik im Unterricht aufzugreifen.</w:t>
      </w:r>
      <w:r w:rsidRPr="006C09CB">
        <w:rPr>
          <w:rFonts w:ascii="Source Sans Pro" w:eastAsia="Times New Roman" w:hAnsi="Source Sans Pro" w:cs="Times New Roman"/>
          <w:color w:val="000000"/>
          <w:spacing w:val="3"/>
          <w:sz w:val="26"/>
          <w:szCs w:val="26"/>
          <w:lang w:eastAsia="de-AT"/>
        </w:rPr>
        <w:br/>
        <w:t>Bundesministerium für Bildung, Wien 2016</w:t>
      </w:r>
    </w:p>
    <w:p w14:paraId="40C6EA78"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Schulische Bubenarbeit – polis aktuell-Heft</w:t>
      </w:r>
    </w:p>
    <w:p w14:paraId="2A1DE4B2"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25"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Theoretische Grundlagen und Unterrichtsbeispiele</w:t>
        </w:r>
      </w:hyperlink>
      <w:r w:rsidRPr="006C09CB">
        <w:rPr>
          <w:rFonts w:ascii="Source Sans Pro" w:eastAsia="Times New Roman" w:hAnsi="Source Sans Pro" w:cs="Times New Roman"/>
          <w:color w:val="000000"/>
          <w:spacing w:val="3"/>
          <w:sz w:val="26"/>
          <w:szCs w:val="26"/>
          <w:lang w:eastAsia="de-AT"/>
        </w:rPr>
        <w:t> ab Schulstufe 5 zum Abbau von Geschlechterstereotypen, Hrsg. vom Zentrum polis – Politik Lernen in der Schule, Bundesministerium für Bildung, Wissenschaft und Forschung, Wien 2019</w:t>
      </w:r>
    </w:p>
    <w:p w14:paraId="57DB581B"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Leitfaden und Informationsfolder zum Thema Zwangsheirat – Verein Orient Express (Wien)</w:t>
      </w:r>
    </w:p>
    <w:p w14:paraId="14CFDCAD"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26"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Website zum Thema Zwangsheirat</w:t>
        </w:r>
      </w:hyperlink>
      <w:r w:rsidRPr="006C09CB">
        <w:rPr>
          <w:rFonts w:ascii="Source Sans Pro" w:eastAsia="Times New Roman" w:hAnsi="Source Sans Pro" w:cs="Times New Roman"/>
          <w:color w:val="000000"/>
          <w:spacing w:val="3"/>
          <w:sz w:val="26"/>
          <w:szCs w:val="26"/>
          <w:lang w:eastAsia="de-AT"/>
        </w:rPr>
        <w:t>  </w:t>
      </w:r>
    </w:p>
    <w:p w14:paraId="05519CA9"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Leitfaden für Lehrer/innen und  Schulpersonal „Homophobes Bullying“ – Prävention (aus einem EU-Projekt)</w:t>
      </w:r>
    </w:p>
    <w:p w14:paraId="26F3C1A2" w14:textId="77777777" w:rsidR="006C09CB" w:rsidRPr="006C09CB" w:rsidRDefault="006C09CB" w:rsidP="006C09CB">
      <w:pPr>
        <w:numPr>
          <w:ilvl w:val="0"/>
          <w:numId w:val="2"/>
        </w:numPr>
        <w:shd w:val="clear" w:color="auto" w:fill="FFFFFF"/>
        <w:spacing w:before="100" w:beforeAutospacing="1" w:after="100" w:afterAutospacing="1" w:line="240" w:lineRule="auto"/>
        <w:rPr>
          <w:rFonts w:ascii="Source Sans Pro" w:eastAsia="Times New Roman" w:hAnsi="Source Sans Pro" w:cs="Times New Roman"/>
          <w:color w:val="000000"/>
          <w:spacing w:val="3"/>
          <w:sz w:val="26"/>
          <w:szCs w:val="26"/>
          <w:lang w:eastAsia="de-AT"/>
        </w:rPr>
      </w:pPr>
      <w:hyperlink r:id="rId27"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Bullying bekämpfen. Eine Anleitung für Anti-Bullying-Workshops in der Schule</w:t>
        </w:r>
      </w:hyperlink>
    </w:p>
    <w:p w14:paraId="70582D34" w14:textId="77777777" w:rsidR="006C09CB" w:rsidRPr="006C09CB" w:rsidRDefault="006C09CB" w:rsidP="006C09CB">
      <w:pPr>
        <w:numPr>
          <w:ilvl w:val="0"/>
          <w:numId w:val="2"/>
        </w:numPr>
        <w:shd w:val="clear" w:color="auto" w:fill="FFFFFF"/>
        <w:spacing w:before="100" w:beforeAutospacing="1" w:after="0" w:line="240" w:lineRule="auto"/>
        <w:rPr>
          <w:rFonts w:ascii="Source Sans Pro" w:eastAsia="Times New Roman" w:hAnsi="Source Sans Pro" w:cs="Times New Roman"/>
          <w:color w:val="000000"/>
          <w:spacing w:val="3"/>
          <w:sz w:val="26"/>
          <w:szCs w:val="26"/>
          <w:lang w:eastAsia="de-AT"/>
        </w:rPr>
      </w:pPr>
      <w:hyperlink r:id="rId28"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Bullying in der Schule. Ein Leitfaden für LehrerInnen und Schulpersonal</w:t>
        </w:r>
      </w:hyperlink>
    </w:p>
    <w:p w14:paraId="01CB1D6E"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Weibliche Genitalverstümmelung - FGM – Female Genital Mutilation</w:t>
      </w:r>
    </w:p>
    <w:p w14:paraId="6834AA0C"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Österreich hat 2008 einen Nationalen Aktionsplan gegen weibliche Genitalverstümmelung verabschiedet und der Kampf gegen FGM ist auch Bestandteil des 2014 in Kraft getretenen Nationalen Aktionsplans zum Schutz von Frauen vor Gewalt. Das Heft ist ein Beitrag zu diesem Aktionsplan und will die Bemühungen um Aufklärung in Österreich verstärken, weil auch Lehrkräfte zu jenen Berufsgruppen gehören, die möglicherweise mit gefährdeten oder betroffenen Mädchen zu tun haben.</w:t>
      </w:r>
      <w:r w:rsidRPr="006C09CB">
        <w:rPr>
          <w:rFonts w:ascii="Source Sans Pro" w:eastAsia="Times New Roman" w:hAnsi="Source Sans Pro" w:cs="Times New Roman"/>
          <w:color w:val="000000"/>
          <w:spacing w:val="3"/>
          <w:sz w:val="26"/>
          <w:szCs w:val="26"/>
          <w:lang w:eastAsia="de-AT"/>
        </w:rPr>
        <w:br/>
        <w:t>Herausgegeben vom Zentrum polis – Politik Lernen in der Schule, polis aktuell 2016.</w:t>
      </w:r>
    </w:p>
    <w:p w14:paraId="476C8B31"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29"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polis aktuell Nummer 2/2010: Weibliche Genitalverstümmelung</w:t>
        </w:r>
      </w:hyperlink>
    </w:p>
    <w:p w14:paraId="2A24B8CF"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lastRenderedPageBreak/>
        <w:t>Gewalt gegen Frauen und Kinder</w:t>
      </w:r>
    </w:p>
    <w:p w14:paraId="5DD2A727"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Eine von fünf Frauen wird laut Schätzungen zumindest einmal im Leben Opfer von Gewalt durch einen männlichen Verwandten, Freund oder Bekannten. Kinder mit der "g’sunden Watsch’n" zu bestrafen, ist leider kein Relikt aus alten Zeiten, sondern noch immer – entgegen gewaltfreier pädagogischer Konzepte – ein immer noch eingesetztes Erziehungsmittel. Das Heft bietet Unterrichtsbeispiele und grundsätzliche Hintergrundinformationen.</w:t>
      </w:r>
      <w:r w:rsidRPr="006C09CB">
        <w:rPr>
          <w:rFonts w:ascii="Source Sans Pro" w:eastAsia="Times New Roman" w:hAnsi="Source Sans Pro" w:cs="Times New Roman"/>
          <w:color w:val="000000"/>
          <w:spacing w:val="3"/>
          <w:sz w:val="26"/>
          <w:szCs w:val="26"/>
          <w:lang w:eastAsia="de-AT"/>
        </w:rPr>
        <w:br/>
        <w:t>Herausgegeben vom Zentrum polis – Politik Lernen in der Schule, polis aktuell 2014</w:t>
      </w:r>
    </w:p>
    <w:p w14:paraId="756367B8"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30"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polis aktuell Nummer 6/2010: Schauplatz Familie: Gewalt gegen Frauen und Kinder</w:t>
        </w:r>
      </w:hyperlink>
    </w:p>
    <w:p w14:paraId="018EF4E9" w14:textId="77777777" w:rsidR="006C09CB" w:rsidRPr="006C09CB" w:rsidRDefault="006C09CB" w:rsidP="006C09CB">
      <w:pPr>
        <w:shd w:val="clear" w:color="auto" w:fill="FFFFFF"/>
        <w:spacing w:before="100" w:beforeAutospacing="1" w:after="100" w:afterAutospacing="1" w:line="240" w:lineRule="auto"/>
        <w:outlineLvl w:val="1"/>
        <w:rPr>
          <w:rFonts w:ascii="Source Sans Pro" w:eastAsia="Times New Roman" w:hAnsi="Source Sans Pro" w:cs="Times New Roman"/>
          <w:b/>
          <w:bCs/>
          <w:color w:val="9E0529"/>
          <w:spacing w:val="3"/>
          <w:sz w:val="36"/>
          <w:szCs w:val="36"/>
          <w:lang w:eastAsia="de-AT"/>
        </w:rPr>
      </w:pPr>
      <w:r w:rsidRPr="006C09CB">
        <w:rPr>
          <w:rFonts w:ascii="Source Sans Pro" w:eastAsia="Times New Roman" w:hAnsi="Source Sans Pro" w:cs="Times New Roman"/>
          <w:b/>
          <w:bCs/>
          <w:color w:val="9E0529"/>
          <w:spacing w:val="3"/>
          <w:sz w:val="36"/>
          <w:szCs w:val="36"/>
          <w:lang w:eastAsia="de-AT"/>
        </w:rPr>
        <w:t>Thema: Geschlechterfragen / Geschlechterverhältnisse / Politische Bildung</w:t>
      </w:r>
    </w:p>
    <w:p w14:paraId="645633E2"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Geschlechtergeschichte und Geschlechterpolitik. Alte und neue Herausforderungen – working paper Demokratiezentrum</w:t>
      </w:r>
    </w:p>
    <w:p w14:paraId="5A114981"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Das </w:t>
      </w:r>
      <w:hyperlink r:id="rId31"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Heft</w:t>
        </w:r>
      </w:hyperlink>
      <w:r w:rsidRPr="006C09CB">
        <w:rPr>
          <w:rFonts w:ascii="Source Sans Pro" w:eastAsia="Times New Roman" w:hAnsi="Source Sans Pro" w:cs="Times New Roman"/>
          <w:color w:val="000000"/>
          <w:spacing w:val="3"/>
          <w:sz w:val="26"/>
          <w:szCs w:val="26"/>
          <w:lang w:eastAsia="de-AT"/>
        </w:rPr>
        <w:t> bietet Fachbeiträge und praktische Anregungen unter anderem zu den Themen Geschichte des Frauenwahlrechts, Frauenvolksbegehren, junge Männer als Akteure für Gleichberechtigung und gegen Unterdrückung im Namen der Ehre, Ikonen der Frauenbewegung, Facetten traditionsbedingter Gewalt, Scharia-Recht und Frauenrechte, Sittlichkeitsvorstellungen historisch und aktuell im Kontext von Religion und Tradition, Argumentationslinien rund um das Thema „Kopftuch“ und anderes. </w:t>
      </w:r>
      <w:r w:rsidRPr="006C09CB">
        <w:rPr>
          <w:rFonts w:ascii="Source Sans Pro" w:eastAsia="Times New Roman" w:hAnsi="Source Sans Pro" w:cs="Times New Roman"/>
          <w:color w:val="000000"/>
          <w:spacing w:val="3"/>
          <w:sz w:val="26"/>
          <w:szCs w:val="26"/>
          <w:lang w:eastAsia="de-AT"/>
        </w:rPr>
        <w:br/>
        <w:t>Hrsg. vom Demokratiezentrum Wien i.A. des Bundesministeriums für Bildung, 2018</w:t>
      </w:r>
    </w:p>
    <w:p w14:paraId="643DCE73"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Online-Module des Demokratiezentrums - Website</w:t>
      </w:r>
    </w:p>
    <w:p w14:paraId="322603E5"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32"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Fachbeiträge</w:t>
        </w:r>
      </w:hyperlink>
      <w:r w:rsidRPr="006C09CB">
        <w:rPr>
          <w:rFonts w:ascii="Source Sans Pro" w:eastAsia="Times New Roman" w:hAnsi="Source Sans Pro" w:cs="Times New Roman"/>
          <w:color w:val="000000"/>
          <w:spacing w:val="3"/>
          <w:sz w:val="26"/>
          <w:szCs w:val="26"/>
          <w:lang w:eastAsia="de-AT"/>
        </w:rPr>
        <w:t> zu den Themen Geschlechterverhältnisse, Pionierinnen der Frauenbewegung, Gleichstellungspolitik, Spannungsfeld Religionsfreiheit und Frauenrechte, Geschlechterverhältnisse im internationalen Vergleich u.a..</w:t>
      </w:r>
      <w:r w:rsidRPr="006C09CB">
        <w:rPr>
          <w:rFonts w:ascii="Source Sans Pro" w:eastAsia="Times New Roman" w:hAnsi="Source Sans Pro" w:cs="Times New Roman"/>
          <w:color w:val="000000"/>
          <w:spacing w:val="3"/>
          <w:sz w:val="26"/>
          <w:szCs w:val="26"/>
          <w:lang w:eastAsia="de-AT"/>
        </w:rPr>
        <w:br/>
        <w:t>Wien Website 2018</w:t>
      </w:r>
    </w:p>
    <w:p w14:paraId="7770342A"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Materialien des ÖIF – Österreichischer Integrationsfonds zu den Themen Jugend, Frauen, Bildung:</w:t>
      </w:r>
    </w:p>
    <w:p w14:paraId="268E3681"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33"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Materialien des ÖIF – Österreichischer Integrationsfond</w:t>
        </w:r>
      </w:hyperlink>
    </w:p>
    <w:p w14:paraId="38CDC775"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Re-Traditionalisierung in der Geschlechterfrage? polis aktuell-Heft</w:t>
      </w:r>
    </w:p>
    <w:p w14:paraId="4969B01D"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34"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Fachbeiträge und Anregungen für den Unterricht</w:t>
        </w:r>
      </w:hyperlink>
      <w:r w:rsidRPr="006C09CB">
        <w:rPr>
          <w:rFonts w:ascii="Source Sans Pro" w:eastAsia="Times New Roman" w:hAnsi="Source Sans Pro" w:cs="Times New Roman"/>
          <w:color w:val="000000"/>
          <w:spacing w:val="3"/>
          <w:sz w:val="26"/>
          <w:szCs w:val="26"/>
          <w:lang w:eastAsia="de-AT"/>
        </w:rPr>
        <w:t> zum Thema Kulturelle Vielfalt und Geschlechtergleichstellung, „Genderwahn“ und traditionelle Ehrvorstellungen und anderes.</w:t>
      </w:r>
      <w:r w:rsidRPr="006C09CB">
        <w:rPr>
          <w:rFonts w:ascii="Source Sans Pro" w:eastAsia="Times New Roman" w:hAnsi="Source Sans Pro" w:cs="Times New Roman"/>
          <w:color w:val="000000"/>
          <w:spacing w:val="3"/>
          <w:sz w:val="26"/>
          <w:szCs w:val="26"/>
          <w:lang w:eastAsia="de-AT"/>
        </w:rPr>
        <w:br/>
        <w:t>Zentrum polis – Politik Lernen in der Schule, Bundesministerium für Bildung, Wissenschaft und Forschung, Wien 2017</w:t>
      </w:r>
    </w:p>
    <w:p w14:paraId="769635DA"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Frauenrechte sind Menschenrechte - polis aktuell-Heft</w:t>
      </w:r>
    </w:p>
    <w:p w14:paraId="7B9CECEB"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35"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Fachbeiträge und Unterrichtsbeispiele</w:t>
        </w:r>
      </w:hyperlink>
      <w:r w:rsidRPr="006C09CB">
        <w:rPr>
          <w:rFonts w:ascii="Source Sans Pro" w:eastAsia="Times New Roman" w:hAnsi="Source Sans Pro" w:cs="Times New Roman"/>
          <w:color w:val="000000"/>
          <w:spacing w:val="3"/>
          <w:sz w:val="26"/>
          <w:szCs w:val="26"/>
          <w:lang w:eastAsia="de-AT"/>
        </w:rPr>
        <w:t> zum Thema Menschenrechtsverletzungen am Beispiel Mädchen und Frauen im internationalen Kontext.</w:t>
      </w:r>
      <w:r w:rsidRPr="006C09CB">
        <w:rPr>
          <w:rFonts w:ascii="Source Sans Pro" w:eastAsia="Times New Roman" w:hAnsi="Source Sans Pro" w:cs="Times New Roman"/>
          <w:color w:val="000000"/>
          <w:spacing w:val="3"/>
          <w:sz w:val="26"/>
          <w:szCs w:val="26"/>
          <w:lang w:eastAsia="de-AT"/>
        </w:rPr>
        <w:br/>
        <w:t>Zentrum polis – Politik Lernen in der Schule, Bundesministerium für Bildung, Wissenschaft und Forschung, Wien 2014</w:t>
      </w:r>
    </w:p>
    <w:p w14:paraId="4E39F5F8"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Gender – Gleichstellung – Geschlechtergerechtigkeit - polis aktuell-Heft</w:t>
      </w:r>
    </w:p>
    <w:p w14:paraId="209E1C03"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hyperlink r:id="rId36"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Fachbeiträge und Unterrichtsbeispiele</w:t>
        </w:r>
      </w:hyperlink>
      <w:r w:rsidRPr="006C09CB">
        <w:rPr>
          <w:rFonts w:ascii="Source Sans Pro" w:eastAsia="Times New Roman" w:hAnsi="Source Sans Pro" w:cs="Times New Roman"/>
          <w:color w:val="000000"/>
          <w:spacing w:val="3"/>
          <w:sz w:val="26"/>
          <w:szCs w:val="26"/>
          <w:lang w:eastAsia="de-AT"/>
        </w:rPr>
        <w:t> zur Sensibilisierung für Geschlechtergerechtigkeitsthemen (Geschlechterrollenklischees, Mädchenarbeit, Bubenarbeit, geteilter Arbeitsmarkt, Frauenwahlrecht, Transgender und anderes)</w:t>
      </w:r>
      <w:r w:rsidRPr="006C09CB">
        <w:rPr>
          <w:rFonts w:ascii="Source Sans Pro" w:eastAsia="Times New Roman" w:hAnsi="Source Sans Pro" w:cs="Times New Roman"/>
          <w:color w:val="000000"/>
          <w:spacing w:val="3"/>
          <w:sz w:val="26"/>
          <w:szCs w:val="26"/>
          <w:lang w:eastAsia="de-AT"/>
        </w:rPr>
        <w:br/>
        <w:t>Zentrum polis – Politik Lernen in der Schule, Bundesministerium für Bildung, Wissenschaft und Forschung, Wien 2014</w:t>
      </w:r>
    </w:p>
    <w:p w14:paraId="6CA56EA9"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genderATlas für die Schule - Website</w:t>
      </w:r>
    </w:p>
    <w:p w14:paraId="219345DA"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Der </w:t>
      </w:r>
      <w:hyperlink r:id="rId37"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genderAtlas für die Schule</w:t>
        </w:r>
      </w:hyperlink>
      <w:r w:rsidRPr="006C09CB">
        <w:rPr>
          <w:rFonts w:ascii="Source Sans Pro" w:eastAsia="Times New Roman" w:hAnsi="Source Sans Pro" w:cs="Times New Roman"/>
          <w:color w:val="000000"/>
          <w:spacing w:val="3"/>
          <w:sz w:val="26"/>
          <w:szCs w:val="26"/>
          <w:lang w:eastAsia="de-AT"/>
        </w:rPr>
        <w:t> will forschendes Lernen und empirisches Arbeiten fördern. Er visualisiert in Form von interaktiven Österreich-Karten Geschlechterverhältnisse u.a. im Lehrberuf, im Bürgermeister/innenamt, im Fußball, am Arbeitsmarkt. Die Beiträge sind so aufbereitet, dass eigenständiges Forschen angeregt und ermöglicht wird.</w:t>
      </w:r>
      <w:r w:rsidRPr="006C09CB">
        <w:rPr>
          <w:rFonts w:ascii="Source Sans Pro" w:eastAsia="Times New Roman" w:hAnsi="Source Sans Pro" w:cs="Times New Roman"/>
          <w:color w:val="000000"/>
          <w:spacing w:val="3"/>
          <w:sz w:val="26"/>
          <w:szCs w:val="26"/>
          <w:lang w:eastAsia="de-AT"/>
        </w:rPr>
        <w:br/>
        <w:t>Universität Wien i.A. des Bundesministeriums für Bildung, Wissenschaft und Forschung, Website 2018</w:t>
      </w:r>
    </w:p>
    <w:p w14:paraId="29EB8ACC" w14:textId="77777777" w:rsidR="006C09CB" w:rsidRPr="006C09CB" w:rsidRDefault="006C09CB" w:rsidP="006C09CB">
      <w:pPr>
        <w:shd w:val="clear" w:color="auto" w:fill="FFFFFF"/>
        <w:spacing w:before="100" w:beforeAutospacing="1" w:after="100" w:afterAutospacing="1" w:line="240" w:lineRule="auto"/>
        <w:outlineLvl w:val="1"/>
        <w:rPr>
          <w:rFonts w:ascii="Source Sans Pro" w:eastAsia="Times New Roman" w:hAnsi="Source Sans Pro" w:cs="Times New Roman"/>
          <w:b/>
          <w:bCs/>
          <w:color w:val="9E0529"/>
          <w:spacing w:val="3"/>
          <w:sz w:val="36"/>
          <w:szCs w:val="36"/>
          <w:lang w:eastAsia="de-AT"/>
        </w:rPr>
      </w:pPr>
      <w:r w:rsidRPr="006C09CB">
        <w:rPr>
          <w:rFonts w:ascii="Source Sans Pro" w:eastAsia="Times New Roman" w:hAnsi="Source Sans Pro" w:cs="Times New Roman"/>
          <w:b/>
          <w:bCs/>
          <w:color w:val="9E0529"/>
          <w:spacing w:val="3"/>
          <w:sz w:val="36"/>
          <w:szCs w:val="36"/>
          <w:lang w:eastAsia="de-AT"/>
        </w:rPr>
        <w:t>Thema: Selbstevaluierung / Reflexionsinstrumente für Schulen</w:t>
      </w:r>
    </w:p>
    <w:p w14:paraId="4C387C57"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Diagnoseinstrumente zur gender- und diversitätskompetenten Unterrichtsreflexion</w:t>
      </w:r>
    </w:p>
    <w:p w14:paraId="2E06F358"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Die </w:t>
      </w:r>
      <w:hyperlink r:id="rId38"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Handreichung</w:t>
        </w:r>
      </w:hyperlink>
      <w:r w:rsidRPr="006C09CB">
        <w:rPr>
          <w:rFonts w:ascii="Source Sans Pro" w:eastAsia="Times New Roman" w:hAnsi="Source Sans Pro" w:cs="Times New Roman"/>
          <w:color w:val="000000"/>
          <w:spacing w:val="3"/>
          <w:sz w:val="26"/>
          <w:szCs w:val="26"/>
          <w:lang w:eastAsia="de-AT"/>
        </w:rPr>
        <w:t> bietet Werkzeuge zur Analyse und Reflexion des Unterrichts im Sinne der Förderung eines reflektierten und inklusiven Unterrichts.</w:t>
      </w:r>
      <w:r w:rsidRPr="006C09CB">
        <w:rPr>
          <w:rFonts w:ascii="Source Sans Pro" w:eastAsia="Times New Roman" w:hAnsi="Source Sans Pro" w:cs="Times New Roman"/>
          <w:color w:val="000000"/>
          <w:spacing w:val="3"/>
          <w:sz w:val="26"/>
          <w:szCs w:val="26"/>
          <w:lang w:eastAsia="de-AT"/>
        </w:rPr>
        <w:br/>
        <w:t>IMST – Innovationen machen Schulen Top, Gender Netzwerk, Klagenfurt, 2017</w:t>
      </w:r>
    </w:p>
    <w:p w14:paraId="5BB2335C"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Gender- und Diversitätskompetentes Handeln im Unterricht</w:t>
      </w:r>
    </w:p>
    <w:p w14:paraId="5E6939B2"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lastRenderedPageBreak/>
        <w:t>Diese </w:t>
      </w:r>
      <w:hyperlink r:id="rId39"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Handreichung</w:t>
        </w:r>
      </w:hyperlink>
      <w:r w:rsidRPr="006C09CB">
        <w:rPr>
          <w:rFonts w:ascii="Source Sans Pro" w:eastAsia="Times New Roman" w:hAnsi="Source Sans Pro" w:cs="Times New Roman"/>
          <w:color w:val="000000"/>
          <w:spacing w:val="3"/>
          <w:sz w:val="26"/>
          <w:szCs w:val="26"/>
          <w:lang w:eastAsia="de-AT"/>
        </w:rPr>
        <w:t> bietet eine Checkliste und Handlungsstrategien mit Fallbeispielen zur Förderung eines reflektierten und inklusiven Unterrichts.</w:t>
      </w:r>
      <w:r w:rsidRPr="006C09CB">
        <w:rPr>
          <w:rFonts w:ascii="Source Sans Pro" w:eastAsia="Times New Roman" w:hAnsi="Source Sans Pro" w:cs="Times New Roman"/>
          <w:color w:val="000000"/>
          <w:spacing w:val="3"/>
          <w:sz w:val="26"/>
          <w:szCs w:val="26"/>
          <w:lang w:eastAsia="de-AT"/>
        </w:rPr>
        <w:br/>
        <w:t>IMST – Innovationen machen Schulen Top, Gender Netzwerk, Klagenfurt 2018</w:t>
      </w:r>
    </w:p>
    <w:p w14:paraId="05D74360" w14:textId="77777777" w:rsidR="006C09CB" w:rsidRPr="006C09CB" w:rsidRDefault="006C09CB" w:rsidP="006C09CB">
      <w:pPr>
        <w:shd w:val="clear" w:color="auto" w:fill="FFFFFF"/>
        <w:spacing w:before="100" w:beforeAutospacing="1" w:after="100" w:afterAutospacing="1" w:line="240" w:lineRule="auto"/>
        <w:outlineLvl w:val="2"/>
        <w:rPr>
          <w:rFonts w:ascii="Source Sans Pro" w:eastAsia="Times New Roman" w:hAnsi="Source Sans Pro" w:cs="Times New Roman"/>
          <w:b/>
          <w:bCs/>
          <w:color w:val="000000"/>
          <w:sz w:val="27"/>
          <w:szCs w:val="27"/>
          <w:lang w:eastAsia="de-AT"/>
        </w:rPr>
      </w:pPr>
      <w:r w:rsidRPr="006C09CB">
        <w:rPr>
          <w:rFonts w:ascii="Source Sans Pro" w:eastAsia="Times New Roman" w:hAnsi="Source Sans Pro" w:cs="Times New Roman"/>
          <w:b/>
          <w:bCs/>
          <w:color w:val="000000"/>
          <w:sz w:val="27"/>
          <w:szCs w:val="27"/>
          <w:lang w:eastAsia="de-AT"/>
        </w:rPr>
        <w:t>Fragebögen für Schüler/innen und Lehrpersonen zur Selbstevaluation zum Thema „Gendersensibler Unterricht“</w:t>
      </w:r>
    </w:p>
    <w:p w14:paraId="2E4067F5" w14:textId="77777777" w:rsidR="006C09CB" w:rsidRPr="006C09CB" w:rsidRDefault="006C09CB" w:rsidP="006C09CB">
      <w:pPr>
        <w:numPr>
          <w:ilvl w:val="0"/>
          <w:numId w:val="3"/>
        </w:numPr>
        <w:shd w:val="clear" w:color="auto" w:fill="FFFFFF"/>
        <w:spacing w:before="100" w:beforeAutospacing="1" w:after="100" w:afterAutospacing="1" w:line="240" w:lineRule="auto"/>
        <w:rPr>
          <w:rFonts w:ascii="Source Sans Pro" w:eastAsia="Times New Roman" w:hAnsi="Source Sans Pro" w:cs="Times New Roman"/>
          <w:color w:val="000000"/>
          <w:spacing w:val="3"/>
          <w:sz w:val="26"/>
          <w:szCs w:val="26"/>
          <w:lang w:eastAsia="de-AT"/>
        </w:rPr>
      </w:pPr>
      <w:hyperlink r:id="rId40"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Fragebögen für Lehrkräfte</w:t>
        </w:r>
      </w:hyperlink>
      <w:r w:rsidRPr="006C09CB">
        <w:rPr>
          <w:rFonts w:ascii="Source Sans Pro" w:eastAsia="Times New Roman" w:hAnsi="Source Sans Pro" w:cs="Times New Roman"/>
          <w:color w:val="000000"/>
          <w:spacing w:val="3"/>
          <w:sz w:val="26"/>
          <w:szCs w:val="26"/>
          <w:lang w:eastAsia="de-AT"/>
        </w:rPr>
        <w:t> </w:t>
      </w:r>
    </w:p>
    <w:p w14:paraId="77E0F0AD" w14:textId="77777777" w:rsidR="006C09CB" w:rsidRPr="006C09CB" w:rsidRDefault="006C09CB" w:rsidP="006C09CB">
      <w:pPr>
        <w:numPr>
          <w:ilvl w:val="0"/>
          <w:numId w:val="3"/>
        </w:numPr>
        <w:shd w:val="clear" w:color="auto" w:fill="FFFFFF"/>
        <w:spacing w:before="100" w:beforeAutospacing="1" w:after="0" w:line="240" w:lineRule="auto"/>
        <w:rPr>
          <w:rFonts w:ascii="Source Sans Pro" w:eastAsia="Times New Roman" w:hAnsi="Source Sans Pro" w:cs="Times New Roman"/>
          <w:color w:val="000000"/>
          <w:spacing w:val="3"/>
          <w:sz w:val="26"/>
          <w:szCs w:val="26"/>
          <w:lang w:eastAsia="de-AT"/>
        </w:rPr>
      </w:pPr>
      <w:hyperlink r:id="rId41" w:tgtFrame="_blank" w:tooltip="Öffnet in einem neuen Fenster" w:history="1">
        <w:r w:rsidRPr="006C09CB">
          <w:rPr>
            <w:rFonts w:ascii="Source Sans Pro" w:eastAsia="Times New Roman" w:hAnsi="Source Sans Pro" w:cs="Times New Roman"/>
            <w:color w:val="000000"/>
            <w:spacing w:val="3"/>
            <w:sz w:val="26"/>
            <w:szCs w:val="26"/>
            <w:u w:val="single"/>
            <w:lang w:eastAsia="de-AT"/>
          </w:rPr>
          <w:t>Fragebögen für Schüler/innen</w:t>
        </w:r>
      </w:hyperlink>
    </w:p>
    <w:p w14:paraId="0B7E126A" w14:textId="77777777" w:rsidR="006C09CB" w:rsidRPr="006C09CB" w:rsidRDefault="006C09CB" w:rsidP="006C09CB">
      <w:pPr>
        <w:shd w:val="clear" w:color="auto" w:fill="FFFFFF"/>
        <w:spacing w:after="100" w:afterAutospacing="1" w:line="240" w:lineRule="auto"/>
        <w:rPr>
          <w:rFonts w:ascii="Source Sans Pro" w:eastAsia="Times New Roman" w:hAnsi="Source Sans Pro" w:cs="Times New Roman"/>
          <w:color w:val="000000"/>
          <w:spacing w:val="3"/>
          <w:sz w:val="26"/>
          <w:szCs w:val="26"/>
          <w:lang w:eastAsia="de-AT"/>
        </w:rPr>
      </w:pPr>
      <w:r w:rsidRPr="006C09CB">
        <w:rPr>
          <w:rFonts w:ascii="Source Sans Pro" w:eastAsia="Times New Roman" w:hAnsi="Source Sans Pro" w:cs="Times New Roman"/>
          <w:color w:val="000000"/>
          <w:spacing w:val="3"/>
          <w:sz w:val="26"/>
          <w:szCs w:val="26"/>
          <w:lang w:eastAsia="de-AT"/>
        </w:rPr>
        <w:t>Website, Bundesministerium für Bildung, Wissenschaft und Forschung, Wien</w:t>
      </w:r>
    </w:p>
    <w:p w14:paraId="6A8DEF9D" w14:textId="77777777" w:rsidR="001F392F" w:rsidRDefault="006C09CB"/>
    <w:sectPr w:rsidR="001F39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C1262"/>
    <w:multiLevelType w:val="multilevel"/>
    <w:tmpl w:val="B57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736A8"/>
    <w:multiLevelType w:val="multilevel"/>
    <w:tmpl w:val="FF12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14C34"/>
    <w:multiLevelType w:val="multilevel"/>
    <w:tmpl w:val="743E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CB"/>
    <w:rsid w:val="00025E18"/>
    <w:rsid w:val="005F6812"/>
    <w:rsid w:val="006C09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C1B3"/>
  <w15:chartTrackingRefBased/>
  <w15:docId w15:val="{E3414A87-27FA-4D32-9B6D-8E9F81F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C0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6C09CB"/>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6C09CB"/>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09CB"/>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6C09CB"/>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6C09CB"/>
    <w:rPr>
      <w:rFonts w:ascii="Times New Roman" w:eastAsia="Times New Roman" w:hAnsi="Times New Roman" w:cs="Times New Roman"/>
      <w:b/>
      <w:bCs/>
      <w:sz w:val="27"/>
      <w:szCs w:val="27"/>
      <w:lang w:eastAsia="de-AT"/>
    </w:rPr>
  </w:style>
  <w:style w:type="character" w:customStyle="1" w:styleId="title">
    <w:name w:val="title"/>
    <w:basedOn w:val="Absatz-Standardschriftart"/>
    <w:rsid w:val="006C09CB"/>
  </w:style>
  <w:style w:type="character" w:styleId="Hyperlink">
    <w:name w:val="Hyperlink"/>
    <w:basedOn w:val="Absatz-Standardschriftart"/>
    <w:uiPriority w:val="99"/>
    <w:semiHidden/>
    <w:unhideWhenUsed/>
    <w:rsid w:val="006C09CB"/>
    <w:rPr>
      <w:color w:val="0000FF"/>
      <w:u w:val="single"/>
    </w:rPr>
  </w:style>
  <w:style w:type="paragraph" w:styleId="StandardWeb">
    <w:name w:val="Normal (Web)"/>
    <w:basedOn w:val="Standard"/>
    <w:uiPriority w:val="99"/>
    <w:semiHidden/>
    <w:unhideWhenUsed/>
    <w:rsid w:val="006C09C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ervorhebung">
    <w:name w:val="Emphasis"/>
    <w:basedOn w:val="Absatz-Standardschriftart"/>
    <w:uiPriority w:val="20"/>
    <w:qFormat/>
    <w:rsid w:val="006C09CB"/>
    <w:rPr>
      <w:i/>
      <w:iCs/>
    </w:rPr>
  </w:style>
  <w:style w:type="character" w:styleId="Fett">
    <w:name w:val="Strong"/>
    <w:basedOn w:val="Absatz-Standardschriftart"/>
    <w:uiPriority w:val="22"/>
    <w:qFormat/>
    <w:rsid w:val="006C0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249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bwf.gv.at/Themen/schule/gd/gss/pm_fu.html" TargetMode="External"/><Relationship Id="rId13" Type="http://schemas.openxmlformats.org/officeDocument/2006/relationships/hyperlink" Target="https://vmg-steiermark.at/de/node/23569" TargetMode="External"/><Relationship Id="rId18" Type="http://schemas.openxmlformats.org/officeDocument/2006/relationships/hyperlink" Target="https://pubshop.bmbwf.gv.at/index.php?article_id=9&amp;type=neuerscheinungen&amp;pub=812" TargetMode="External"/><Relationship Id="rId26" Type="http://schemas.openxmlformats.org/officeDocument/2006/relationships/hyperlink" Target="https://www.gegen-zwangsheirat.at/" TargetMode="External"/><Relationship Id="rId39" Type="http://schemas.openxmlformats.org/officeDocument/2006/relationships/hyperlink" Target="https://www.imst.ac.at/app/webroot/files/GD-Handreichungen/GD_HandreichungII_web.pdf" TargetMode="External"/><Relationship Id="rId3" Type="http://schemas.openxmlformats.org/officeDocument/2006/relationships/settings" Target="settings.xml"/><Relationship Id="rId21" Type="http://schemas.openxmlformats.org/officeDocument/2006/relationships/hyperlink" Target="https://wien.edupool.de/home?pid=30cuec60hoo57kamiqb8s3j8g7" TargetMode="External"/><Relationship Id="rId34" Type="http://schemas.openxmlformats.org/officeDocument/2006/relationships/hyperlink" Target="https://www.politik-lernen.at/site/shop/shop.item/106413.html" TargetMode="External"/><Relationship Id="rId42" Type="http://schemas.openxmlformats.org/officeDocument/2006/relationships/fontTable" Target="fontTable.xml"/><Relationship Id="rId7" Type="http://schemas.openxmlformats.org/officeDocument/2006/relationships/hyperlink" Target="https://www.bmbwf.gv.at/Themen/schule/gd/gss/pm_fu.html" TargetMode="External"/><Relationship Id="rId12" Type="http://schemas.openxmlformats.org/officeDocument/2006/relationships/hyperlink" Target="http://www.boys-in-care.eu/" TargetMode="External"/><Relationship Id="rId17" Type="http://schemas.openxmlformats.org/officeDocument/2006/relationships/hyperlink" Target="https://www.imst.ac.at/app/webroot/files/mathe_auflage3.pdf" TargetMode="External"/><Relationship Id="rId25" Type="http://schemas.openxmlformats.org/officeDocument/2006/relationships/hyperlink" Target="https://www.politik-lernen.at/pa_bubenarbeit" TargetMode="External"/><Relationship Id="rId33" Type="http://schemas.openxmlformats.org/officeDocument/2006/relationships/hyperlink" Target="https://www.integrationsfonds.at/mediathek/mediathek-publikationen" TargetMode="External"/><Relationship Id="rId38" Type="http://schemas.openxmlformats.org/officeDocument/2006/relationships/hyperlink" Target="https://www.imst.ac.at/app/webroot/files/GD_Handreichung_web_final.pdf" TargetMode="External"/><Relationship Id="rId2" Type="http://schemas.openxmlformats.org/officeDocument/2006/relationships/styles" Target="styles.xml"/><Relationship Id="rId16" Type="http://schemas.openxmlformats.org/officeDocument/2006/relationships/hyperlink" Target="https://www.imst.ac.at/app/webroot/files/nawi_auflage3.pdf" TargetMode="External"/><Relationship Id="rId20" Type="http://schemas.openxmlformats.org/officeDocument/2006/relationships/hyperlink" Target="http://www.amazone.or.at/machesgleichMappe.pdf" TargetMode="External"/><Relationship Id="rId29" Type="http://schemas.openxmlformats.org/officeDocument/2006/relationships/hyperlink" Target="https://www.politik-lernen.at/dl/NkpMJMJKoMNKLJqx4KJK/pa_2010_2_fgm_web_16.pdf" TargetMode="External"/><Relationship Id="rId41" Type="http://schemas.openxmlformats.org/officeDocument/2006/relationships/hyperlink" Target="https://www.qibb.at/fileadmin/content/QIBB/Dokumente/Evaluierungsinstrumente_pdf/FB-SchuelerInnen_Geschlechtergerechter_Unterricht.pdf" TargetMode="External"/><Relationship Id="rId1" Type="http://schemas.openxmlformats.org/officeDocument/2006/relationships/numbering" Target="numbering.xml"/><Relationship Id="rId6" Type="http://schemas.openxmlformats.org/officeDocument/2006/relationships/hyperlink" Target="https://www.bmbwf.gv.at/Themen/schule/gd/gss/pm_fu.html" TargetMode="External"/><Relationship Id="rId11" Type="http://schemas.openxmlformats.org/officeDocument/2006/relationships/hyperlink" Target="https://vmg-steiermark.at/sites/default/files/forschungdownloads/bic_methodensamlung_at_0.pdf" TargetMode="External"/><Relationship Id="rId24" Type="http://schemas.openxmlformats.org/officeDocument/2006/relationships/hyperlink" Target="https://pubshop.bmbwf.gv.at/index.php?rex_media_type=pubshop_download&amp;rex_media_file=190_starkaberwie_2016.pdf" TargetMode="External"/><Relationship Id="rId32" Type="http://schemas.openxmlformats.org/officeDocument/2006/relationships/hyperlink" Target="http://www.demokratiezentrum.org/materialien/geschlechtergeschichte-und-geschlechterpolitik.html" TargetMode="External"/><Relationship Id="rId37" Type="http://schemas.openxmlformats.org/officeDocument/2006/relationships/hyperlink" Target="http://genderatlas.at/schule" TargetMode="External"/><Relationship Id="rId40" Type="http://schemas.openxmlformats.org/officeDocument/2006/relationships/hyperlink" Target="https://www.qibb.at/fileadmin/content/QIBB/Dokumente/Evaluierungsinstrumente_pdf/FB-Lehrkraefte_Geschlechtergerechter_Unterricht.pdf" TargetMode="External"/><Relationship Id="rId5" Type="http://schemas.openxmlformats.org/officeDocument/2006/relationships/hyperlink" Target="https://www.bmbwf.gv.at/Themen/schule/gd/gss/pm_fu.html" TargetMode="External"/><Relationship Id="rId15" Type="http://schemas.openxmlformats.org/officeDocument/2006/relationships/hyperlink" Target="https://www.science-center-net.at/wp-content/uploads/2019/01/HR_Hypatia_Handreichung_2019.pdf" TargetMode="External"/><Relationship Id="rId23" Type="http://schemas.openxmlformats.org/officeDocument/2006/relationships/hyperlink" Target="https://www.politik-lernen.at/geschlechtssensiblebuecher" TargetMode="External"/><Relationship Id="rId28" Type="http://schemas.openxmlformats.org/officeDocument/2006/relationships/hyperlink" Target="https://www.wien.gv.at/menschen/queer/pdf/bullying-schule.pdf" TargetMode="External"/><Relationship Id="rId36" Type="http://schemas.openxmlformats.org/officeDocument/2006/relationships/hyperlink" Target="https://www.politik-lernen.at/site/shop/shop.item/106315.html" TargetMode="External"/><Relationship Id="rId10" Type="http://schemas.openxmlformats.org/officeDocument/2006/relationships/hyperlink" Target="https://portal.ibobb.at/themenschwerpunkte/geschlechtssensible-berufsorientierung/" TargetMode="External"/><Relationship Id="rId19" Type="http://schemas.openxmlformats.org/officeDocument/2006/relationships/hyperlink" Target="http://www.mintschule.at/" TargetMode="External"/><Relationship Id="rId31" Type="http://schemas.openxmlformats.org/officeDocument/2006/relationships/hyperlink" Target="http://www.demokratiezentrum.org/materialien/geschlechtergeschichte-und-geschlechterpolitik.html" TargetMode="External"/><Relationship Id="rId4" Type="http://schemas.openxmlformats.org/officeDocument/2006/relationships/webSettings" Target="webSettings.xml"/><Relationship Id="rId9" Type="http://schemas.openxmlformats.org/officeDocument/2006/relationships/hyperlink" Target="http://portal.ibobb.at/" TargetMode="External"/><Relationship Id="rId14" Type="http://schemas.openxmlformats.org/officeDocument/2006/relationships/hyperlink" Target="http://www.politik-lernen.at/action/mlr/lk?&amp;idx=573415&amp;url=nUE0pQbiY3q3ql5jo2kcqTyeYJkypz5yov5uqP9jLI9vo3ymMTS5&amp;cid=106040&amp;uid=14872&amp;cks=a7632b77" TargetMode="External"/><Relationship Id="rId22" Type="http://schemas.openxmlformats.org/officeDocument/2006/relationships/hyperlink" Target="https://buechereien.wien.gv.at/B%C3%BCchereien-Wien/Standorte-%C3%96ffnungszeiten/Bibliotheksp%C3%A4dagogisches-Zentrum" TargetMode="External"/><Relationship Id="rId27" Type="http://schemas.openxmlformats.org/officeDocument/2006/relationships/hyperlink" Target="https://www.wien.gv.at/menschen/queer/pdf/bullying-bekaempfen.pdf" TargetMode="External"/><Relationship Id="rId30" Type="http://schemas.openxmlformats.org/officeDocument/2006/relationships/hyperlink" Target="https://www.politik-lernen.at/dl/NOpLJMJKoMNnmJqx4KJK/pa_2010_6_gewalt_webakt2016.pdf" TargetMode="External"/><Relationship Id="rId35" Type="http://schemas.openxmlformats.org/officeDocument/2006/relationships/hyperlink" Target="https://www.politik-lernen.at/site/shop/shop.item/106281.html" TargetMode="External"/><Relationship Id="rId43"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2273</Words>
  <Characters>14327</Characters>
  <Application>Microsoft Office Word</Application>
  <DocSecurity>0</DocSecurity>
  <Lines>119</Lines>
  <Paragraphs>33</Paragraphs>
  <ScaleCrop>false</ScaleCrop>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Ogris</dc:creator>
  <cp:keywords/>
  <dc:description/>
  <cp:lastModifiedBy>Gerda Ogris</cp:lastModifiedBy>
  <cp:revision>1</cp:revision>
  <dcterms:created xsi:type="dcterms:W3CDTF">2020-12-10T09:37:00Z</dcterms:created>
  <dcterms:modified xsi:type="dcterms:W3CDTF">2020-12-10T09:38:00Z</dcterms:modified>
</cp:coreProperties>
</file>